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C6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0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68C6" w:rsidRPr="0020010B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КИИКСКОГО</w:t>
      </w:r>
      <w:r w:rsidRPr="0020010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6268C6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</w:t>
      </w:r>
      <w:r w:rsidRPr="0020010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268C6" w:rsidRPr="0020010B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0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6268C6" w:rsidRPr="0020010B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C6" w:rsidRPr="0020010B" w:rsidRDefault="006268C6" w:rsidP="006268C6">
      <w:pPr>
        <w:jc w:val="center"/>
        <w:rPr>
          <w:b/>
        </w:rPr>
      </w:pPr>
      <w:r w:rsidRPr="002001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268C6" w:rsidRDefault="006268C6" w:rsidP="006268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C6" w:rsidRPr="005962E8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21.06</w:t>
      </w:r>
      <w:r w:rsidRPr="005962E8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26</w:t>
      </w:r>
    </w:p>
    <w:p w:rsidR="006268C6" w:rsidRPr="005962E8" w:rsidRDefault="006268C6" w:rsidP="00626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C6" w:rsidRPr="005962E8" w:rsidRDefault="006268C6" w:rsidP="006268C6">
      <w:pPr>
        <w:jc w:val="center"/>
        <w:rPr>
          <w:b/>
        </w:rPr>
      </w:pPr>
      <w:r w:rsidRPr="005962E8">
        <w:rPr>
          <w:rFonts w:ascii="Times New Roman" w:hAnsi="Times New Roman" w:cs="Times New Roman"/>
          <w:b/>
          <w:sz w:val="28"/>
          <w:szCs w:val="28"/>
        </w:rPr>
        <w:t>с. Киик</w:t>
      </w:r>
    </w:p>
    <w:p w:rsidR="006268C6" w:rsidRPr="005962E8" w:rsidRDefault="006268C6" w:rsidP="00626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68C6" w:rsidRPr="005962E8" w:rsidRDefault="006268C6" w:rsidP="00BF73DB">
      <w:pPr>
        <w:pStyle w:val="ConsPlusTitle"/>
        <w:jc w:val="center"/>
      </w:pPr>
      <w:r>
        <w:rPr>
          <w:rFonts w:ascii="Times New Roman" w:hAnsi="Times New Roman" w:cs="Times New Roman"/>
          <w:iCs/>
          <w:sz w:val="28"/>
          <w:szCs w:val="28"/>
        </w:rPr>
        <w:t>Об обеспечении эвакуации в особый период на территории Киикского сельсовета Тогучинског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о района Новосибирской области</w:t>
      </w:r>
    </w:p>
    <w:p w:rsidR="006268C6" w:rsidRDefault="006268C6" w:rsidP="006268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2A02" w:rsidRDefault="006268C6" w:rsidP="006268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эвакоприёмных мероприятий Тогучинского </w:t>
      </w:r>
      <w:r w:rsidR="00F92A02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30.11.2020 Главой Тогучинского района Новосибирской области, в организации размещения эваконаселения прибывающего в особый период на территорию Киикского сельсовета Тогучинского района Новосибирской области из Октябрьского района города Новосибирска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Киикского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68C6" w:rsidRPr="00F92A02" w:rsidRDefault="006268C6" w:rsidP="006268C6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0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8C6" w:rsidRDefault="006268C6" w:rsidP="00F92A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2A02" w:rsidRPr="00F92A02" w:rsidRDefault="00F92A02" w:rsidP="00F92A02">
      <w:pPr>
        <w:pStyle w:val="ConsPlusNormal"/>
        <w:jc w:val="both"/>
        <w:rPr>
          <w:b/>
          <w:sz w:val="16"/>
          <w:szCs w:val="16"/>
        </w:rPr>
      </w:pPr>
    </w:p>
    <w:p w:rsidR="006268C6" w:rsidRDefault="006268C6" w:rsidP="006268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 В особый период 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нетрудоспособное и иное в сфере производства, прибывающего из Октябрьского района г. Новосибирска в количестве 3829 человек, в населенный пункт село Киик Киикского сельсовета Тогучинского района Новосибирской области, на жилой площади 15459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8C6" w:rsidRDefault="006268C6" w:rsidP="006268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 Подготовить расчет жилого фонда по вышеуказанной жилой площади к ордеру №1 (Приложение 1)</w:t>
      </w:r>
    </w:p>
    <w:p w:rsidR="006268C6" w:rsidRDefault="006268C6" w:rsidP="006268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 Начальнику ПВР организовать встречу и размещение эваконаселения на особый период.</w:t>
      </w:r>
    </w:p>
    <w:p w:rsidR="006268C6" w:rsidRDefault="006268C6" w:rsidP="006268C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6268C6" w:rsidRDefault="006268C6" w:rsidP="006268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68C6" w:rsidRDefault="006268C6" w:rsidP="006268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8C6" w:rsidRDefault="006268C6" w:rsidP="00626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Киикского сельсовета                                                       </w:t>
      </w:r>
    </w:p>
    <w:p w:rsidR="006268C6" w:rsidRDefault="006268C6" w:rsidP="00626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268C6" w:rsidRPr="008A6C3A" w:rsidRDefault="006268C6" w:rsidP="006268C6">
      <w:pPr>
        <w:tabs>
          <w:tab w:val="left" w:pos="72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А.А.Клюшниченко</w:t>
      </w:r>
      <w:proofErr w:type="spellEnd"/>
    </w:p>
    <w:p w:rsidR="006268C6" w:rsidRDefault="006268C6" w:rsidP="006268C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68C6" w:rsidRDefault="006268C6" w:rsidP="006268C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68C6" w:rsidRDefault="006268C6" w:rsidP="006268C6">
      <w:pPr>
        <w:jc w:val="both"/>
        <w:rPr>
          <w:rFonts w:ascii="Times New Roman" w:hAnsi="Times New Roman" w:cs="Times New Roman"/>
          <w:i/>
          <w:szCs w:val="28"/>
        </w:rPr>
      </w:pPr>
    </w:p>
    <w:p w:rsidR="006268C6" w:rsidRDefault="006268C6" w:rsidP="006268C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68C6" w:rsidRPr="0090746A" w:rsidRDefault="006268C6" w:rsidP="006268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68C6" w:rsidRPr="0090746A" w:rsidRDefault="006268C6" w:rsidP="006268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68C6" w:rsidRPr="0090746A" w:rsidRDefault="006268C6" w:rsidP="006268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68C6" w:rsidRPr="0090746A" w:rsidRDefault="006268C6" w:rsidP="006268C6">
      <w:pPr>
        <w:rPr>
          <w:rFonts w:ascii="Times New Roman" w:eastAsia="Times New Roman" w:hAnsi="Times New Roman" w:cs="Times New Roman"/>
          <w:sz w:val="20"/>
          <w:szCs w:val="20"/>
        </w:rPr>
      </w:pPr>
      <w:r w:rsidRPr="0090746A">
        <w:rPr>
          <w:rFonts w:ascii="Times New Roman" w:eastAsia="Times New Roman" w:hAnsi="Times New Roman" w:cs="Times New Roman"/>
          <w:sz w:val="20"/>
          <w:szCs w:val="20"/>
        </w:rPr>
        <w:t>Володькина</w:t>
      </w:r>
    </w:p>
    <w:p w:rsidR="007024D5" w:rsidRPr="00F92A02" w:rsidRDefault="006268C6" w:rsidP="00F92A02">
      <w:pPr>
        <w:rPr>
          <w:rFonts w:ascii="Times New Roman" w:eastAsia="Times New Roman" w:hAnsi="Times New Roman" w:cs="Times New Roman"/>
          <w:sz w:val="20"/>
          <w:szCs w:val="20"/>
        </w:rPr>
      </w:pPr>
      <w:r w:rsidRPr="0090746A">
        <w:rPr>
          <w:rFonts w:ascii="Times New Roman" w:eastAsia="Times New Roman" w:hAnsi="Times New Roman" w:cs="Times New Roman"/>
          <w:sz w:val="20"/>
          <w:szCs w:val="20"/>
        </w:rPr>
        <w:t>83834048246</w:t>
      </w:r>
      <w:r w:rsidR="007024D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8"/>
          <w:u w:val="single"/>
        </w:rPr>
        <w:t xml:space="preserve">                                                       </w:t>
      </w:r>
    </w:p>
    <w:p w:rsidR="00E84A5A" w:rsidRPr="00506023" w:rsidRDefault="007024D5" w:rsidP="007024D5">
      <w:pPr>
        <w:ind w:right="2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6"/>
          <w:szCs w:val="28"/>
          <w:u w:val="single"/>
        </w:rPr>
        <w:lastRenderedPageBreak/>
        <w:t xml:space="preserve">                                                                                            </w:t>
      </w:r>
      <w:r w:rsidR="00506023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8"/>
          <w:u w:val="single"/>
        </w:rPr>
        <w:t xml:space="preserve">                             </w:t>
      </w:r>
      <w:r w:rsidRPr="00506023">
        <w:rPr>
          <w:rFonts w:ascii="Times New Roman" w:hAnsi="Times New Roman" w:cs="Times New Roman"/>
          <w:sz w:val="28"/>
          <w:szCs w:val="28"/>
        </w:rPr>
        <w:t>Приложение</w:t>
      </w:r>
      <w:r w:rsidR="00F92A02" w:rsidRPr="005060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84A5A" w:rsidRPr="00506023" w:rsidRDefault="00C1460C" w:rsidP="005555EE">
      <w:pPr>
        <w:ind w:right="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7024D5"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постановлению администрации</w:t>
      </w:r>
    </w:p>
    <w:p w:rsidR="00E84A5A" w:rsidRPr="00506023" w:rsidRDefault="007024D5" w:rsidP="005555EE">
      <w:pPr>
        <w:ind w:right="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Киикского </w:t>
      </w:r>
      <w:r w:rsidR="00C1460C"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 Тогучинского</w:t>
      </w:r>
      <w:r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7024D5" w:rsidRPr="00506023" w:rsidRDefault="007024D5" w:rsidP="005555EE">
      <w:pPr>
        <w:ind w:right="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7024D5" w:rsidRPr="00506023" w:rsidRDefault="007024D5" w:rsidP="005555EE">
      <w:pPr>
        <w:ind w:right="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023">
        <w:rPr>
          <w:rFonts w:ascii="Times New Roman" w:eastAsia="Times New Roman" w:hAnsi="Times New Roman" w:cs="Times New Roman"/>
          <w:color w:val="auto"/>
          <w:sz w:val="28"/>
          <w:szCs w:val="28"/>
        </w:rPr>
        <w:t>от 21.06.2022 №26</w:t>
      </w:r>
    </w:p>
    <w:p w:rsidR="007024D5" w:rsidRDefault="007024D5" w:rsidP="005555EE">
      <w:pPr>
        <w:ind w:right="20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</w:pPr>
    </w:p>
    <w:p w:rsidR="003F185B" w:rsidRPr="00BC204A" w:rsidRDefault="005555EE" w:rsidP="005555EE">
      <w:pPr>
        <w:ind w:right="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204A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На особый период</w:t>
      </w:r>
    </w:p>
    <w:p w:rsidR="005555EE" w:rsidRDefault="005555EE" w:rsidP="003F185B">
      <w:pPr>
        <w:ind w:right="-16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</w:p>
    <w:p w:rsidR="005555EE" w:rsidRDefault="005555EE" w:rsidP="003F185B">
      <w:pPr>
        <w:ind w:right="-16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</w:p>
    <w:p w:rsidR="003F185B" w:rsidRDefault="003F185B" w:rsidP="003F185B">
      <w:pPr>
        <w:ind w:right="-164"/>
        <w:jc w:val="center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3F185B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ОРДЕР №</w:t>
      </w:r>
      <w:r w:rsidR="00E84A5A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1</w:t>
      </w:r>
    </w:p>
    <w:p w:rsidR="005555EE" w:rsidRPr="003F185B" w:rsidRDefault="005555EE" w:rsidP="003F185B">
      <w:pPr>
        <w:ind w:right="-164"/>
        <w:jc w:val="center"/>
        <w:rPr>
          <w:rFonts w:ascii="Times New Roman" w:eastAsia="Times New Roman" w:hAnsi="Times New Roman" w:cs="Times New Roman"/>
          <w:color w:val="auto"/>
          <w:sz w:val="26"/>
          <w:szCs w:val="28"/>
        </w:rPr>
      </w:pPr>
    </w:p>
    <w:p w:rsidR="003F185B" w:rsidRPr="003F185B" w:rsidRDefault="003F185B" w:rsidP="003F185B">
      <w:pPr>
        <w:ind w:right="-2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02920" w:rsidRDefault="003F185B" w:rsidP="00E8633E">
      <w:pPr>
        <w:pBdr>
          <w:bottom w:val="single" w:sz="12" w:space="2" w:color="auto"/>
        </w:pBdr>
        <w:tabs>
          <w:tab w:val="left" w:pos="9660"/>
        </w:tabs>
        <w:ind w:right="-22" w:firstLine="84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Выдан Администрации </w:t>
      </w:r>
      <w:r w:rsidR="00F9121F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Октябрьского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города Новосибирска на право подселения на жилую площадь в особый период населения </w:t>
      </w:r>
      <w:r w:rsidR="00F91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Октябрьского 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 г. Новосибирска не занятого в сфере производства в количестве 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3829 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 в жилые дома</w:t>
      </w:r>
      <w:r w:rsidR="00277B1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расположенные по адресу</w:t>
      </w:r>
      <w:r w:rsidR="00277B1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BC2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осибирская область, Тогучинский район с.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Киик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Береговая (575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Березовского (220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Киикская (255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Лесная (150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Озёрная (225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С.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Рыбко</w:t>
      </w:r>
      <w:proofErr w:type="spellEnd"/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(470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Северная (120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Солнечная (200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Чапаева (380 человек), ул.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 (790 человек), пер. Зелёный (50 человек), пер.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Инской (40 человек), пер.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4053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Первомайский</w:t>
      </w:r>
      <w:r w:rsidR="00662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(54 человека), пер.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21F8">
        <w:rPr>
          <w:rFonts w:ascii="Times New Roman" w:eastAsia="Times New Roman" w:hAnsi="Times New Roman" w:cs="Times New Roman"/>
          <w:color w:val="auto"/>
          <w:sz w:val="28"/>
          <w:szCs w:val="28"/>
        </w:rPr>
        <w:t>Почтовый (90 человек), пер.</w:t>
      </w:r>
      <w:r w:rsidR="00702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21F8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Школьный (210 человек).</w:t>
      </w:r>
    </w:p>
    <w:p w:rsidR="00E02920" w:rsidRDefault="00E02920" w:rsidP="00E8633E">
      <w:pPr>
        <w:pBdr>
          <w:bottom w:val="single" w:sz="12" w:space="2" w:color="auto"/>
        </w:pBdr>
        <w:tabs>
          <w:tab w:val="left" w:pos="9660"/>
        </w:tabs>
        <w:ind w:right="-22" w:firstLine="84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</w:p>
    <w:p w:rsidR="00E8633E" w:rsidRDefault="003F185B" w:rsidP="00E8633E">
      <w:pPr>
        <w:pBdr>
          <w:bottom w:val="single" w:sz="12" w:space="2" w:color="auto"/>
        </w:pBdr>
        <w:tabs>
          <w:tab w:val="left" w:pos="9660"/>
        </w:tabs>
        <w:ind w:right="-22" w:firstLine="8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Подселение осуществляется на основании Постановления </w:t>
      </w:r>
      <w:r w:rsidR="00506023"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506023">
        <w:rPr>
          <w:rFonts w:ascii="Times New Roman" w:eastAsia="Times New Roman" w:hAnsi="Times New Roman" w:cs="Times New Roman"/>
          <w:color w:val="auto"/>
          <w:sz w:val="28"/>
          <w:szCs w:val="28"/>
        </w:rPr>
        <w:t>Киикского</w:t>
      </w:r>
      <w:r w:rsidR="00C146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</w:t>
      </w:r>
      <w:r w:rsidR="00662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Тогучинского района Новосибирской области от 21.06.2022 № 26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FC20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жилой </w:t>
      </w:r>
      <w:r w:rsidR="00506023"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площади </w:t>
      </w:r>
      <w:r w:rsidR="00506023">
        <w:rPr>
          <w:rFonts w:ascii="Times New Roman" w:eastAsia="Times New Roman" w:hAnsi="Times New Roman" w:cs="Times New Roman"/>
          <w:color w:val="auto"/>
          <w:sz w:val="28"/>
          <w:szCs w:val="28"/>
        </w:rPr>
        <w:t>15459</w:t>
      </w:r>
      <w:r w:rsidRPr="003F1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 кв.</w:t>
      </w:r>
    </w:p>
    <w:p w:rsidR="00E8633E" w:rsidRDefault="00E8633E" w:rsidP="00E8633E">
      <w:pPr>
        <w:pBdr>
          <w:bottom w:val="single" w:sz="12" w:space="2" w:color="auto"/>
        </w:pBdr>
        <w:tabs>
          <w:tab w:val="left" w:pos="9660"/>
        </w:tabs>
        <w:ind w:right="-22" w:firstLine="8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84E94" w:rsidRDefault="00484E94" w:rsidP="003F185B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484E94" w:rsidRDefault="00484E94" w:rsidP="003F185B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484E94" w:rsidRPr="006621F8" w:rsidRDefault="00484E94" w:rsidP="006621F8">
      <w:pPr>
        <w:rPr>
          <w:rFonts w:ascii="Times New Roman" w:eastAsia="Times New Roman" w:hAnsi="Times New Roman" w:cs="Times New Roman"/>
          <w:color w:val="auto"/>
          <w:w w:val="150"/>
          <w:sz w:val="28"/>
          <w:szCs w:val="28"/>
        </w:rPr>
      </w:pPr>
      <w:r w:rsidRPr="00662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6621F8" w:rsidRPr="006621F8">
        <w:rPr>
          <w:rFonts w:ascii="Times New Roman" w:eastAsia="Times New Roman" w:hAnsi="Times New Roman" w:cs="Times New Roman"/>
          <w:color w:val="auto"/>
          <w:sz w:val="28"/>
          <w:szCs w:val="28"/>
        </w:rPr>
        <w:t>Киикского сельсовета</w:t>
      </w:r>
    </w:p>
    <w:p w:rsidR="006621F8" w:rsidRPr="006621F8" w:rsidRDefault="006621F8" w:rsidP="00484E94">
      <w:pPr>
        <w:ind w:right="-16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21F8">
        <w:rPr>
          <w:rFonts w:ascii="Times New Roman" w:eastAsia="Times New Roman" w:hAnsi="Times New Roman" w:cs="Times New Roman"/>
          <w:color w:val="auto"/>
          <w:sz w:val="28"/>
          <w:szCs w:val="28"/>
        </w:rPr>
        <w:t>Тогучинского района</w:t>
      </w:r>
      <w:r w:rsidR="00484E94" w:rsidRPr="00662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</w:p>
    <w:p w:rsidR="006621F8" w:rsidRPr="006621F8" w:rsidRDefault="006621F8" w:rsidP="006621F8">
      <w:pPr>
        <w:tabs>
          <w:tab w:val="left" w:pos="5584"/>
        </w:tabs>
        <w:ind w:right="-16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21F8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92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А.А.Клюшниченко</w:t>
      </w:r>
      <w:proofErr w:type="spellEnd"/>
    </w:p>
    <w:p w:rsidR="006621F8" w:rsidRPr="006621F8" w:rsidRDefault="006621F8" w:rsidP="00484E94">
      <w:pPr>
        <w:ind w:right="-16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621F8" w:rsidRDefault="006621F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6621F8" w:rsidRDefault="006621F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484E94" w:rsidRDefault="00484E94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proofErr w:type="spellStart"/>
      <w:r w:rsidRPr="00484E94">
        <w:rPr>
          <w:rFonts w:ascii="Times New Roman" w:eastAsia="Times New Roman" w:hAnsi="Times New Roman" w:cs="Times New Roman"/>
          <w:color w:val="auto"/>
          <w:sz w:val="22"/>
          <w:szCs w:val="28"/>
        </w:rPr>
        <w:t>М.п</w:t>
      </w:r>
      <w:proofErr w:type="spellEnd"/>
      <w:r w:rsidRPr="00484E94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.    </w:t>
      </w:r>
      <w:r w:rsidR="006621F8">
        <w:rPr>
          <w:rFonts w:ascii="Times New Roman" w:eastAsia="Times New Roman" w:hAnsi="Times New Roman" w:cs="Times New Roman"/>
          <w:color w:val="auto"/>
          <w:sz w:val="22"/>
          <w:szCs w:val="28"/>
        </w:rPr>
        <w:t>«21» июня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20</w:t>
      </w:r>
      <w:r w:rsidR="006621F8">
        <w:rPr>
          <w:rFonts w:ascii="Times New Roman" w:eastAsia="Times New Roman" w:hAnsi="Times New Roman" w:cs="Times New Roman"/>
          <w:color w:val="auto"/>
          <w:sz w:val="22"/>
          <w:szCs w:val="28"/>
        </w:rPr>
        <w:t>22</w:t>
      </w:r>
      <w:r w:rsidRPr="00484E94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г.</w:t>
      </w:r>
    </w:p>
    <w:p w:rsidR="00501708" w:rsidRDefault="0050170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501708" w:rsidRDefault="0050170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501708" w:rsidRDefault="0050170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501708" w:rsidRDefault="0050170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  <w:sectPr w:rsidR="00501708" w:rsidSect="007B0EC2">
          <w:pgSz w:w="11906" w:h="16838"/>
          <w:pgMar w:top="1134" w:right="871" w:bottom="993" w:left="1418" w:header="0" w:footer="0" w:gutter="0"/>
          <w:cols w:space="720"/>
          <w:formProt w:val="0"/>
          <w:docGrid w:linePitch="312" w:charSpace="-6145"/>
        </w:sectPr>
      </w:pPr>
    </w:p>
    <w:p w:rsidR="00501708" w:rsidRPr="00501708" w:rsidRDefault="00501708" w:rsidP="00501708">
      <w:pPr>
        <w:framePr w:w="14798" w:wrap="notBeside" w:vAnchor="text" w:hAnchor="text" w:xAlign="center" w:y="1"/>
        <w:widowControl w:val="0"/>
        <w:spacing w:line="322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01708">
        <w:rPr>
          <w:rFonts w:ascii="Times New Roman" w:eastAsia="Times New Roman" w:hAnsi="Times New Roman" w:cs="Times New Roman"/>
          <w:sz w:val="27"/>
          <w:szCs w:val="27"/>
        </w:rPr>
        <w:lastRenderedPageBreak/>
        <w:t>КАРТА</w:t>
      </w:r>
    </w:p>
    <w:p w:rsidR="00501708" w:rsidRDefault="00501708" w:rsidP="00501708">
      <w:pPr>
        <w:framePr w:w="14798" w:wrap="notBeside" w:vAnchor="text" w:hAnchor="text" w:xAlign="center" w:y="1"/>
        <w:widowControl w:val="0"/>
        <w:spacing w:line="322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01708">
        <w:rPr>
          <w:rFonts w:ascii="Times New Roman" w:eastAsia="Times New Roman" w:hAnsi="Times New Roman" w:cs="Times New Roman"/>
          <w:sz w:val="27"/>
          <w:szCs w:val="27"/>
        </w:rPr>
        <w:t xml:space="preserve">расселения подселяемого населения </w:t>
      </w:r>
      <w:r w:rsidR="00F9121F">
        <w:rPr>
          <w:rFonts w:ascii="Times New Roman" w:eastAsia="Times New Roman" w:hAnsi="Times New Roman" w:cs="Times New Roman"/>
          <w:sz w:val="27"/>
          <w:szCs w:val="27"/>
        </w:rPr>
        <w:t>Октябрьского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г. Новосибирска </w:t>
      </w:r>
    </w:p>
    <w:p w:rsidR="00501708" w:rsidRPr="00501708" w:rsidRDefault="00501708" w:rsidP="00501708">
      <w:pPr>
        <w:framePr w:w="14798" w:wrap="notBeside" w:vAnchor="text" w:hAnchor="text" w:xAlign="center" w:y="1"/>
        <w:widowControl w:val="0"/>
        <w:spacing w:line="322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01708">
        <w:rPr>
          <w:rFonts w:ascii="Times New Roman" w:eastAsia="Times New Roman" w:hAnsi="Times New Roman" w:cs="Times New Roman"/>
          <w:sz w:val="27"/>
          <w:szCs w:val="27"/>
        </w:rPr>
        <w:t xml:space="preserve">на особый период в </w:t>
      </w:r>
      <w:proofErr w:type="spellStart"/>
      <w:r w:rsidR="00086C15">
        <w:rPr>
          <w:rFonts w:ascii="Times New Roman" w:eastAsia="Times New Roman" w:hAnsi="Times New Roman" w:cs="Times New Roman"/>
          <w:sz w:val="27"/>
          <w:szCs w:val="27"/>
        </w:rPr>
        <w:t>с.Киик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Тогучинского района Новосибирской области</w:t>
      </w:r>
    </w:p>
    <w:p w:rsidR="00501708" w:rsidRPr="00501708" w:rsidRDefault="00501708" w:rsidP="00501708">
      <w:pPr>
        <w:framePr w:w="14798" w:wrap="notBeside" w:vAnchor="text" w:hAnchor="text" w:xAlign="center" w:y="1"/>
        <w:widowControl w:val="0"/>
        <w:spacing w:line="322" w:lineRule="exact"/>
        <w:jc w:val="center"/>
        <w:rPr>
          <w:rFonts w:ascii="Microsoft Sans Serif" w:eastAsia="Microsoft Sans Serif" w:hAnsi="Microsoft Sans Serif" w:cs="Microsoft Sans Serif"/>
          <w:sz w:val="25"/>
          <w:szCs w:val="25"/>
        </w:rPr>
      </w:pPr>
      <w:r w:rsidRPr="005017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tbl>
      <w:tblPr>
        <w:tblOverlap w:val="never"/>
        <w:tblW w:w="14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1134"/>
        <w:gridCol w:w="1559"/>
        <w:gridCol w:w="2127"/>
        <w:gridCol w:w="2888"/>
        <w:gridCol w:w="2422"/>
      </w:tblGrid>
      <w:tr w:rsidR="00501708" w:rsidRPr="00501708" w:rsidTr="00CB0C85">
        <w:trPr>
          <w:trHeight w:hRule="exact" w:val="9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after="60"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  <w:p w:rsidR="00501708" w:rsidRPr="00501708" w:rsidRDefault="00E8633E" w:rsidP="00501708">
            <w:pPr>
              <w:framePr w:w="14798" w:wrap="notBeside" w:vAnchor="text" w:hAnchor="text" w:xAlign="center" w:y="1"/>
              <w:widowControl w:val="0"/>
              <w:spacing w:before="60"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улиц номера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Кол-во</w:t>
            </w:r>
          </w:p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домов</w:t>
            </w:r>
          </w:p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Жилая</w:t>
            </w:r>
          </w:p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before="12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площадь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Кол-во</w:t>
            </w:r>
          </w:p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before="12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проживающих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Кол-во Подселяемого насел.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Жилая площадь на 1чел</w:t>
            </w:r>
          </w:p>
        </w:tc>
      </w:tr>
      <w:tr w:rsidR="00501708" w:rsidRPr="00501708" w:rsidTr="00505CCB">
        <w:trPr>
          <w:trHeight w:hRule="exact" w:val="37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501708" w:rsidRDefault="00086C15" w:rsidP="00501708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Киик</w:t>
            </w:r>
            <w:r w:rsid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F94950" w:rsidRDefault="00A80DBA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F94950" w:rsidRDefault="00A80DBA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15459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F94950" w:rsidRDefault="00C434CE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434CE">
              <w:rPr>
                <w:rFonts w:ascii="Times New Roman" w:eastAsia="Times New Roman" w:hAnsi="Times New Roman" w:cs="Times New Roman"/>
                <w:sz w:val="27"/>
                <w:szCs w:val="27"/>
              </w:rPr>
              <w:t>610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08" w:rsidRPr="00F9121F" w:rsidRDefault="00C434CE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434CE">
              <w:rPr>
                <w:rFonts w:ascii="Times New Roman" w:eastAsia="Times New Roman" w:hAnsi="Times New Roman" w:cs="Times New Roman"/>
                <w:sz w:val="27"/>
                <w:szCs w:val="27"/>
              </w:rPr>
              <w:t>3829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08" w:rsidRPr="00F94950" w:rsidRDefault="00C434CE" w:rsidP="00505CCB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434CE">
              <w:rPr>
                <w:rFonts w:ascii="Times New Roman" w:eastAsia="Times New Roman" w:hAnsi="Times New Roman" w:cs="Times New Roman"/>
                <w:sz w:val="27"/>
                <w:szCs w:val="27"/>
              </w:rPr>
              <w:t>3,48</w:t>
            </w:r>
          </w:p>
        </w:tc>
      </w:tr>
      <w:tr w:rsidR="00F9121F" w:rsidRPr="00501708" w:rsidTr="00505CCB">
        <w:trPr>
          <w:trHeight w:hRule="exact" w:val="37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21F" w:rsidRPr="00501708" w:rsidRDefault="004C74FA" w:rsidP="00F9121F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21F" w:rsidRDefault="00086C15" w:rsidP="00F9121F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ул. Береговая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21F" w:rsidRPr="00F94950" w:rsidRDefault="00A80DBA" w:rsidP="00086C15">
            <w:pPr>
              <w:framePr w:w="14798" w:wrap="notBeside" w:vAnchor="text" w:hAnchor="text" w:xAlign="center" w:y="1"/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21F" w:rsidRPr="00F94950" w:rsidRDefault="00086C15" w:rsidP="00F9121F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086C15">
              <w:rPr>
                <w:rFonts w:ascii="Times New Roman" w:eastAsia="Times New Roman" w:hAnsi="Times New Roman" w:cs="Times New Roman"/>
                <w:sz w:val="27"/>
                <w:szCs w:val="27"/>
              </w:rPr>
              <w:t>2215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21F" w:rsidRPr="00F94950" w:rsidRDefault="00086C15" w:rsidP="00F9121F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086C15">
              <w:rPr>
                <w:rFonts w:ascii="Times New Roman" w:eastAsia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21F" w:rsidRPr="00086C15" w:rsidRDefault="00086C15" w:rsidP="00F9121F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15">
              <w:rPr>
                <w:rFonts w:ascii="Times New Roman" w:eastAsia="Times New Roman" w:hAnsi="Times New Roman" w:cs="Times New Roman"/>
                <w:sz w:val="27"/>
                <w:szCs w:val="27"/>
              </w:rPr>
              <w:t>575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21F" w:rsidRPr="00F94950" w:rsidRDefault="00086C15" w:rsidP="00F9121F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086C15">
              <w:rPr>
                <w:rFonts w:ascii="Times New Roman" w:eastAsia="Times New Roman" w:hAnsi="Times New Roman" w:cs="Times New Roman"/>
                <w:sz w:val="27"/>
                <w:szCs w:val="27"/>
              </w:rPr>
              <w:t>3,49</w:t>
            </w:r>
          </w:p>
        </w:tc>
      </w:tr>
      <w:tr w:rsidR="00501708" w:rsidRPr="00501708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08" w:rsidRPr="00501708" w:rsidRDefault="00501708" w:rsidP="00501708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01708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08" w:rsidRPr="00501708" w:rsidRDefault="00086C15" w:rsidP="00501708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ул. Березовского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08" w:rsidRPr="00F94950" w:rsidRDefault="00086C15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086C1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08" w:rsidRPr="00F94950" w:rsidRDefault="00086C15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927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08" w:rsidRPr="00F94950" w:rsidRDefault="00086C15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08" w:rsidRPr="00086C15" w:rsidRDefault="00086C15" w:rsidP="00501708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08" w:rsidRPr="00F94950" w:rsidRDefault="00086C15" w:rsidP="00086C15">
            <w:pPr>
              <w:framePr w:w="14798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3,60</w:t>
            </w:r>
          </w:p>
        </w:tc>
      </w:tr>
      <w:tr w:rsidR="004C74FA" w:rsidRPr="00501708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501708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ул. Киикская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F94950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F94950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893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501708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31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F9121F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255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F94950" w:rsidRDefault="004C74FA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3,12</w:t>
            </w:r>
          </w:p>
        </w:tc>
      </w:tr>
      <w:tr w:rsidR="004C74FA" w:rsidRPr="00501708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501708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ул. 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4C74F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4C74F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522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4C74F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19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4C74F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4C74FA" w:rsidRDefault="004C74FA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74FA">
              <w:rPr>
                <w:rFonts w:ascii="Times New Roman" w:eastAsia="Times New Roman" w:hAnsi="Times New Roman" w:cs="Times New Roman"/>
                <w:sz w:val="27"/>
                <w:szCs w:val="27"/>
              </w:rPr>
              <w:t>3,08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4C74F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ул.</w:t>
            </w:r>
            <w:r w:rsidR="00996374"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Озерная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911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35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3,50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С. </w:t>
            </w:r>
            <w:proofErr w:type="spellStart"/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Рыбко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90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3,49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ул.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3,48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ул. Солнечная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793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3,55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ул.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1653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93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3,49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125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790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3,50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пер.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3,61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пер. Инской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996374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4,00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пер. 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3,58</w:t>
            </w:r>
          </w:p>
        </w:tc>
      </w:tr>
      <w:tr w:rsidR="004C74FA" w:rsidRPr="00A80DBA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пер. Почтовый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4FA" w:rsidRPr="00A80DBA" w:rsidRDefault="00A80DBA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3,57</w:t>
            </w:r>
          </w:p>
        </w:tc>
      </w:tr>
      <w:tr w:rsidR="00A80DBA" w:rsidRPr="00501708" w:rsidTr="00CB0C85">
        <w:trPr>
          <w:trHeight w:hRule="exact" w:val="3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пер. Школьный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830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DBA" w:rsidRPr="00A80DBA" w:rsidRDefault="00A80DBA" w:rsidP="004C74FA">
            <w:pPr>
              <w:framePr w:w="14798" w:wrap="notBeside" w:vAnchor="text" w:hAnchor="text" w:xAlign="center" w:y="1"/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DBA">
              <w:rPr>
                <w:rFonts w:ascii="Times New Roman" w:eastAsia="Times New Roman" w:hAnsi="Times New Roman" w:cs="Times New Roman"/>
                <w:sz w:val="27"/>
                <w:szCs w:val="27"/>
              </w:rPr>
              <w:t>3,56</w:t>
            </w:r>
          </w:p>
        </w:tc>
      </w:tr>
    </w:tbl>
    <w:p w:rsidR="00501708" w:rsidRDefault="00501708" w:rsidP="00484E94">
      <w:pPr>
        <w:ind w:right="-164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sectPr w:rsidR="00501708" w:rsidSect="00501708">
      <w:pgSz w:w="16838" w:h="11906" w:orient="landscape"/>
      <w:pgMar w:top="1418" w:right="1134" w:bottom="871" w:left="993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7DB4"/>
    <w:multiLevelType w:val="hybridMultilevel"/>
    <w:tmpl w:val="E0EA1D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033"/>
    <w:multiLevelType w:val="hybridMultilevel"/>
    <w:tmpl w:val="B2EEFB56"/>
    <w:lvl w:ilvl="0" w:tplc="F3A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AE7B60"/>
    <w:multiLevelType w:val="hybridMultilevel"/>
    <w:tmpl w:val="78B65ED2"/>
    <w:lvl w:ilvl="0" w:tplc="C866766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A7692"/>
    <w:multiLevelType w:val="hybridMultilevel"/>
    <w:tmpl w:val="79FE6E0C"/>
    <w:lvl w:ilvl="0" w:tplc="9476E13C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3"/>
    <w:rsid w:val="00027931"/>
    <w:rsid w:val="00037100"/>
    <w:rsid w:val="00065487"/>
    <w:rsid w:val="0008226D"/>
    <w:rsid w:val="00086C15"/>
    <w:rsid w:val="00094F69"/>
    <w:rsid w:val="001001A7"/>
    <w:rsid w:val="00141741"/>
    <w:rsid w:val="001465D8"/>
    <w:rsid w:val="00175466"/>
    <w:rsid w:val="001C3155"/>
    <w:rsid w:val="00210D39"/>
    <w:rsid w:val="00220647"/>
    <w:rsid w:val="00224053"/>
    <w:rsid w:val="00272670"/>
    <w:rsid w:val="00277B19"/>
    <w:rsid w:val="0028507F"/>
    <w:rsid w:val="002921FB"/>
    <w:rsid w:val="002A279E"/>
    <w:rsid w:val="002A2916"/>
    <w:rsid w:val="002A703D"/>
    <w:rsid w:val="002B1DD0"/>
    <w:rsid w:val="002B2CB5"/>
    <w:rsid w:val="002C11D3"/>
    <w:rsid w:val="003017AC"/>
    <w:rsid w:val="00312D1C"/>
    <w:rsid w:val="00383D84"/>
    <w:rsid w:val="003960E4"/>
    <w:rsid w:val="003B4751"/>
    <w:rsid w:val="003D10DE"/>
    <w:rsid w:val="003D724E"/>
    <w:rsid w:val="003E5076"/>
    <w:rsid w:val="003E7723"/>
    <w:rsid w:val="003F185B"/>
    <w:rsid w:val="003F22DE"/>
    <w:rsid w:val="00441F37"/>
    <w:rsid w:val="00482738"/>
    <w:rsid w:val="00484E94"/>
    <w:rsid w:val="004C74FA"/>
    <w:rsid w:val="004E1B09"/>
    <w:rsid w:val="00501708"/>
    <w:rsid w:val="00505CCB"/>
    <w:rsid w:val="00505F35"/>
    <w:rsid w:val="00506023"/>
    <w:rsid w:val="00533F0C"/>
    <w:rsid w:val="00535DAB"/>
    <w:rsid w:val="0054722C"/>
    <w:rsid w:val="005555EE"/>
    <w:rsid w:val="005C31A7"/>
    <w:rsid w:val="005F7F81"/>
    <w:rsid w:val="006268C6"/>
    <w:rsid w:val="00646FFC"/>
    <w:rsid w:val="006621F8"/>
    <w:rsid w:val="0067091F"/>
    <w:rsid w:val="006958A2"/>
    <w:rsid w:val="007024D5"/>
    <w:rsid w:val="007159C4"/>
    <w:rsid w:val="0071717A"/>
    <w:rsid w:val="007A72AF"/>
    <w:rsid w:val="007B0EC2"/>
    <w:rsid w:val="007B6070"/>
    <w:rsid w:val="007C6F78"/>
    <w:rsid w:val="00824EF3"/>
    <w:rsid w:val="008706A2"/>
    <w:rsid w:val="008A2259"/>
    <w:rsid w:val="008A44ED"/>
    <w:rsid w:val="008F6CD9"/>
    <w:rsid w:val="00967AEB"/>
    <w:rsid w:val="00996374"/>
    <w:rsid w:val="009E455E"/>
    <w:rsid w:val="009E79BA"/>
    <w:rsid w:val="009F6819"/>
    <w:rsid w:val="00A0140D"/>
    <w:rsid w:val="00A06947"/>
    <w:rsid w:val="00A234CB"/>
    <w:rsid w:val="00A578B3"/>
    <w:rsid w:val="00A73317"/>
    <w:rsid w:val="00A80DBA"/>
    <w:rsid w:val="00A9634F"/>
    <w:rsid w:val="00AC45C8"/>
    <w:rsid w:val="00AF2757"/>
    <w:rsid w:val="00AF2F59"/>
    <w:rsid w:val="00B23233"/>
    <w:rsid w:val="00B32F74"/>
    <w:rsid w:val="00B406FF"/>
    <w:rsid w:val="00B45C78"/>
    <w:rsid w:val="00BA3026"/>
    <w:rsid w:val="00BA47E6"/>
    <w:rsid w:val="00BA7DC5"/>
    <w:rsid w:val="00BB481E"/>
    <w:rsid w:val="00BC204A"/>
    <w:rsid w:val="00BC27B7"/>
    <w:rsid w:val="00BD2B8F"/>
    <w:rsid w:val="00BF73DB"/>
    <w:rsid w:val="00C04F70"/>
    <w:rsid w:val="00C1460C"/>
    <w:rsid w:val="00C434CE"/>
    <w:rsid w:val="00C8244F"/>
    <w:rsid w:val="00CA430E"/>
    <w:rsid w:val="00CC3640"/>
    <w:rsid w:val="00CD5432"/>
    <w:rsid w:val="00D01CF4"/>
    <w:rsid w:val="00D103BB"/>
    <w:rsid w:val="00DD0351"/>
    <w:rsid w:val="00DF03D0"/>
    <w:rsid w:val="00E02920"/>
    <w:rsid w:val="00E27D20"/>
    <w:rsid w:val="00E70A87"/>
    <w:rsid w:val="00E84A5A"/>
    <w:rsid w:val="00E8633E"/>
    <w:rsid w:val="00E86D2B"/>
    <w:rsid w:val="00EE2BDA"/>
    <w:rsid w:val="00EF155F"/>
    <w:rsid w:val="00F00E86"/>
    <w:rsid w:val="00F42AC5"/>
    <w:rsid w:val="00F9121F"/>
    <w:rsid w:val="00F92A02"/>
    <w:rsid w:val="00F94950"/>
    <w:rsid w:val="00FC2094"/>
    <w:rsid w:val="00FE5379"/>
    <w:rsid w:val="00FE6FA7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8303-2A13-482F-A637-4A4BFA8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a4">
    <w:name w:val="Колонтитул_"/>
    <w:basedOn w:val="a0"/>
    <w:qFormat/>
    <w:rPr>
      <w:rFonts w:ascii="MS Gothic" w:eastAsia="MS Gothic" w:hAnsi="MS Gothic" w:cs="MS Gothic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5">
    <w:name w:val="Колонтитул"/>
    <w:basedOn w:val="a4"/>
    <w:qFormat/>
    <w:rPr>
      <w:rFonts w:ascii="MS Gothic" w:eastAsia="MS Gothic" w:hAnsi="MS Gothic" w:cs="MS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170E4F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7A39EC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7A39EC"/>
    <w:rPr>
      <w:color w:val="000000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120" w:after="30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qFormat/>
    <w:pPr>
      <w:shd w:val="clear" w:color="auto" w:fill="FFFFFF"/>
    </w:pPr>
    <w:rPr>
      <w:rFonts w:ascii="MS Gothic" w:eastAsia="MS Gothic" w:hAnsi="MS Gothic" w:cs="MS Gothic"/>
      <w:sz w:val="16"/>
      <w:szCs w:val="16"/>
    </w:rPr>
  </w:style>
  <w:style w:type="paragraph" w:styleId="ae">
    <w:name w:val="Balloon Text"/>
    <w:basedOn w:val="a"/>
    <w:uiPriority w:val="99"/>
    <w:semiHidden/>
    <w:unhideWhenUsed/>
    <w:qFormat/>
    <w:rsid w:val="00170E4F"/>
    <w:rPr>
      <w:rFonts w:ascii="Segoe UI" w:hAnsi="Segoe UI" w:cs="Segoe UI"/>
      <w:sz w:val="18"/>
      <w:szCs w:val="18"/>
    </w:rPr>
  </w:style>
  <w:style w:type="paragraph" w:styleId="af">
    <w:name w:val="header"/>
    <w:basedOn w:val="a"/>
    <w:uiPriority w:val="99"/>
    <w:unhideWhenUsed/>
    <w:rsid w:val="007A39EC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A39EC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7C6F78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AF2F59"/>
    <w:rPr>
      <w:color w:val="0563C1" w:themeColor="hyperlink"/>
      <w:u w:val="single"/>
    </w:rPr>
  </w:style>
  <w:style w:type="paragraph" w:customStyle="1" w:styleId="ConsPlusNormal">
    <w:name w:val="ConsPlusNormal"/>
    <w:rsid w:val="006268C6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eastAsia="zh-CN"/>
    </w:rPr>
  </w:style>
  <w:style w:type="paragraph" w:customStyle="1" w:styleId="ConsPlusTitle">
    <w:name w:val="ConsPlusTitle"/>
    <w:rsid w:val="006268C6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D094-43D8-454B-8C34-F73CE5B4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V. Shugaev</dc:creator>
  <dc:description/>
  <cp:lastModifiedBy>Киик</cp:lastModifiedBy>
  <cp:revision>5</cp:revision>
  <cp:lastPrinted>2022-07-01T07:42:00Z</cp:lastPrinted>
  <dcterms:created xsi:type="dcterms:W3CDTF">2022-06-27T02:30:00Z</dcterms:created>
  <dcterms:modified xsi:type="dcterms:W3CDTF">2022-07-14T03:18:00Z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