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6A" w:rsidRPr="002E586A" w:rsidRDefault="002E586A" w:rsidP="00EC69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2E586A">
        <w:rPr>
          <w:rFonts w:ascii="Times New Roman" w:hAnsi="Times New Roman" w:cs="Times New Roman"/>
          <w:b/>
          <w:caps/>
          <w:sz w:val="28"/>
          <w:szCs w:val="20"/>
        </w:rPr>
        <w:t>АдминистрациЯ</w:t>
      </w:r>
    </w:p>
    <w:p w:rsidR="002E586A" w:rsidRPr="002E586A" w:rsidRDefault="002E586A" w:rsidP="00EC69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2E586A">
        <w:rPr>
          <w:rFonts w:ascii="Times New Roman" w:hAnsi="Times New Roman" w:cs="Times New Roman"/>
          <w:b/>
          <w:caps/>
          <w:sz w:val="28"/>
          <w:szCs w:val="20"/>
        </w:rPr>
        <w:t>КИИКСКОГО сельсовета</w:t>
      </w:r>
    </w:p>
    <w:p w:rsidR="002E586A" w:rsidRPr="002E586A" w:rsidRDefault="002E586A" w:rsidP="00EC69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2E586A">
        <w:rPr>
          <w:rFonts w:ascii="Times New Roman" w:hAnsi="Times New Roman" w:cs="Times New Roman"/>
          <w:b/>
          <w:caps/>
          <w:sz w:val="28"/>
          <w:szCs w:val="20"/>
        </w:rPr>
        <w:t>ТОГУЧИНСКОГО района</w:t>
      </w:r>
    </w:p>
    <w:p w:rsidR="002E586A" w:rsidRPr="002E586A" w:rsidRDefault="002E586A" w:rsidP="00EC69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2E586A">
        <w:rPr>
          <w:rFonts w:ascii="Times New Roman" w:hAnsi="Times New Roman" w:cs="Times New Roman"/>
          <w:b/>
          <w:caps/>
          <w:sz w:val="28"/>
          <w:szCs w:val="20"/>
        </w:rPr>
        <w:t>НОВОСИБИРСКОЙ ОБЛАСТИ</w:t>
      </w:r>
    </w:p>
    <w:p w:rsidR="002E586A" w:rsidRPr="002E586A" w:rsidRDefault="002E586A" w:rsidP="00EC699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</w:p>
    <w:p w:rsidR="002E586A" w:rsidRPr="002E586A" w:rsidRDefault="002E586A" w:rsidP="00EC69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2E586A">
        <w:rPr>
          <w:rFonts w:ascii="Times New Roman" w:hAnsi="Times New Roman" w:cs="Times New Roman"/>
          <w:b/>
          <w:caps/>
          <w:sz w:val="28"/>
          <w:szCs w:val="20"/>
        </w:rPr>
        <w:t>ПОСТАНОВЛЕНИЕ</w:t>
      </w:r>
    </w:p>
    <w:p w:rsidR="002E586A" w:rsidRPr="002E586A" w:rsidRDefault="002E586A" w:rsidP="00EC699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</w:p>
    <w:p w:rsidR="002E586A" w:rsidRPr="002E586A" w:rsidRDefault="002E586A" w:rsidP="00EC699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12.10.2021   № 61</w:t>
      </w:r>
    </w:p>
    <w:p w:rsidR="002E586A" w:rsidRPr="002E586A" w:rsidRDefault="002E586A" w:rsidP="00EC699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86A" w:rsidRPr="002E586A" w:rsidRDefault="002E586A" w:rsidP="00EC6995">
      <w:pPr>
        <w:spacing w:after="0" w:line="240" w:lineRule="auto"/>
        <w:ind w:right="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6A">
        <w:rPr>
          <w:rFonts w:ascii="Times New Roman" w:hAnsi="Times New Roman" w:cs="Times New Roman"/>
          <w:b/>
          <w:sz w:val="28"/>
          <w:szCs w:val="28"/>
        </w:rPr>
        <w:t>с. Киик</w:t>
      </w:r>
    </w:p>
    <w:p w:rsidR="002E586A" w:rsidRPr="002E586A" w:rsidRDefault="002E586A" w:rsidP="00EC6995">
      <w:pPr>
        <w:spacing w:after="0" w:line="240" w:lineRule="auto"/>
        <w:ind w:right="17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236"/>
        <w:gridCol w:w="8299"/>
        <w:gridCol w:w="236"/>
        <w:gridCol w:w="590"/>
      </w:tblGrid>
      <w:tr w:rsidR="002E586A" w:rsidRPr="002E586A" w:rsidTr="00715B8F">
        <w:trPr>
          <w:trHeight w:val="177"/>
        </w:trPr>
        <w:tc>
          <w:tcPr>
            <w:tcW w:w="496" w:type="dxa"/>
          </w:tcPr>
          <w:p w:rsidR="002E586A" w:rsidRPr="002E586A" w:rsidRDefault="002E586A" w:rsidP="00EC6995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" w:type="dxa"/>
          </w:tcPr>
          <w:p w:rsidR="002E586A" w:rsidRPr="002E586A" w:rsidRDefault="002E586A" w:rsidP="00EC6995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99" w:type="dxa"/>
          </w:tcPr>
          <w:p w:rsidR="002E586A" w:rsidRDefault="002E586A" w:rsidP="00EC6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 xml:space="preserve">Об основных направлениях налоговой, бюджетной и долговой политики 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</w:rPr>
              <w:t>Киик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 xml:space="preserve"> сельсовета Тогучинского района Новосибирской области на 202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 xml:space="preserve">год </w:t>
            </w:r>
          </w:p>
          <w:p w:rsidR="002E586A" w:rsidRPr="002E586A" w:rsidRDefault="002E586A" w:rsidP="00EC6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 w:rsidRPr="002E586A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и плановый период 202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 xml:space="preserve"> и 202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E586A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 xml:space="preserve"> годов</w:t>
            </w:r>
          </w:p>
        </w:tc>
        <w:tc>
          <w:tcPr>
            <w:tcW w:w="236" w:type="dxa"/>
          </w:tcPr>
          <w:p w:rsidR="002E586A" w:rsidRPr="002E586A" w:rsidRDefault="002E586A" w:rsidP="00EC6995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E58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йона</w:t>
            </w:r>
            <w:proofErr w:type="spellEnd"/>
          </w:p>
        </w:tc>
        <w:tc>
          <w:tcPr>
            <w:tcW w:w="590" w:type="dxa"/>
          </w:tcPr>
          <w:p w:rsidR="002E586A" w:rsidRPr="002E586A" w:rsidRDefault="002E586A" w:rsidP="00EC6995">
            <w:pPr>
              <w:spacing w:after="0" w:line="240" w:lineRule="auto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86A" w:rsidRPr="002E586A" w:rsidTr="00715B8F">
        <w:trPr>
          <w:trHeight w:val="177"/>
        </w:trPr>
        <w:tc>
          <w:tcPr>
            <w:tcW w:w="496" w:type="dxa"/>
          </w:tcPr>
          <w:p w:rsidR="002E586A" w:rsidRPr="002E586A" w:rsidRDefault="002E586A" w:rsidP="002E586A">
            <w:pPr>
              <w:spacing w:after="0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" w:type="dxa"/>
          </w:tcPr>
          <w:p w:rsidR="002E586A" w:rsidRPr="002E586A" w:rsidRDefault="002E586A" w:rsidP="002E586A">
            <w:pPr>
              <w:spacing w:after="0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99" w:type="dxa"/>
          </w:tcPr>
          <w:p w:rsidR="002E586A" w:rsidRDefault="002E586A" w:rsidP="002E5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2E586A" w:rsidRPr="002E586A" w:rsidRDefault="002E586A" w:rsidP="002E586A">
            <w:pPr>
              <w:spacing w:after="0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0" w:type="dxa"/>
          </w:tcPr>
          <w:p w:rsidR="002E586A" w:rsidRPr="002E586A" w:rsidRDefault="002E586A" w:rsidP="002E586A">
            <w:pPr>
              <w:spacing w:after="0"/>
              <w:ind w:left="720" w:right="6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13 ст.107.1, ст.172 Бюджетного кодекса Российской </w:t>
      </w:r>
      <w:r w:rsidR="00EC6995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администрация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EC6995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</w:t>
      </w:r>
    </w:p>
    <w:p w:rsidR="002E586A" w:rsidRPr="002E586A" w:rsidRDefault="002E586A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5339" w:rsidRPr="00125339" w:rsidRDefault="00125339" w:rsidP="002E5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F53D1" w:rsidRPr="00AF53D1" w:rsidRDefault="00AF53D1" w:rsidP="00AF5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5339" w:rsidRPr="00125339" w:rsidRDefault="00125339" w:rsidP="00AF5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339" w:rsidRPr="00125339" w:rsidRDefault="00125339" w:rsidP="00AF5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основные направления бюджетной и налоговой политики 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AF53D1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на 2022 год и плановый период 2023 и 2024 годов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339" w:rsidRPr="00125339" w:rsidRDefault="00125339" w:rsidP="00AF5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основные направления долговой политики 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AF53D1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 на 2022 год и плановый период 2023 и 2024 годов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Вестник» и разместить на официальном сайте администрации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исполнением настоящего 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Глава </w:t>
      </w:r>
      <w:r w:rsidR="00AF53D1">
        <w:rPr>
          <w:rFonts w:ascii="Times New Roman" w:hAnsi="Times New Roman" w:cs="Times New Roman"/>
          <w:sz w:val="28"/>
          <w:szCs w:val="28"/>
        </w:rPr>
        <w:t>Киик</w:t>
      </w:r>
      <w:r w:rsidRPr="0012533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 сельсовета </w:t>
      </w: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Тогучинского района </w:t>
      </w:r>
    </w:p>
    <w:p w:rsidR="00AF53D1" w:rsidRDefault="00125339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9">
        <w:rPr>
          <w:rFonts w:ascii="Times New Roman" w:hAnsi="Times New Roman" w:cs="Times New Roman"/>
          <w:sz w:val="28"/>
          <w:szCs w:val="28"/>
          <w:lang w:val="x-none"/>
        </w:rPr>
        <w:t>Новосибирской области</w:t>
      </w:r>
      <w:r w:rsidRPr="00125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AF53D1">
        <w:rPr>
          <w:rFonts w:ascii="Times New Roman" w:hAnsi="Times New Roman" w:cs="Times New Roman"/>
          <w:sz w:val="28"/>
          <w:szCs w:val="28"/>
        </w:rPr>
        <w:t>А.А.Клюшниченко</w:t>
      </w:r>
      <w:proofErr w:type="spellEnd"/>
    </w:p>
    <w:p w:rsidR="00AF53D1" w:rsidRDefault="00AF53D1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3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Default="00125339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EC6995" w:rsidRDefault="00EC6995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EC6995" w:rsidRPr="00125339" w:rsidRDefault="00EC6995" w:rsidP="0012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AF53D1" w:rsidRDefault="00AF53D1" w:rsidP="00125339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F296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25339" w:rsidRPr="00125339" w:rsidRDefault="00AF53D1" w:rsidP="00125339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x-none"/>
        </w:rPr>
        <w:t>постановлению</w:t>
      </w:r>
      <w:r w:rsidR="00125339"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EC6995" w:rsidRPr="00125339">
        <w:rPr>
          <w:rFonts w:ascii="Times New Roman" w:hAnsi="Times New Roman" w:cs="Times New Roman"/>
          <w:sz w:val="28"/>
          <w:szCs w:val="28"/>
          <w:lang w:val="x-none"/>
        </w:rPr>
        <w:t>администрации</w:t>
      </w:r>
      <w:r w:rsidR="00EC6995" w:rsidRPr="00125339">
        <w:rPr>
          <w:rFonts w:ascii="Times New Roman" w:hAnsi="Times New Roman" w:cs="Times New Roman"/>
          <w:sz w:val="28"/>
          <w:szCs w:val="28"/>
        </w:rPr>
        <w:t xml:space="preserve"> Киикского</w:t>
      </w:r>
      <w:r w:rsidR="00125339"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339"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12.10.2021</w:t>
      </w:r>
    </w:p>
    <w:p w:rsidR="00125339" w:rsidRPr="00125339" w:rsidRDefault="00125339" w:rsidP="001253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</w:t>
      </w:r>
    </w:p>
    <w:p w:rsidR="00125339" w:rsidRPr="00125339" w:rsidRDefault="00125339" w:rsidP="0012533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бюджетной и налоговой политики </w:t>
      </w:r>
      <w:r w:rsidR="00AF5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Киик</w:t>
      </w: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Тогучинского района Новосибирской области на 2022 год и плановый период 2023 и 2024 годов</w:t>
      </w:r>
    </w:p>
    <w:p w:rsidR="00125339" w:rsidRPr="00125339" w:rsidRDefault="00125339" w:rsidP="001253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253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25339" w:rsidRPr="00125339" w:rsidRDefault="00125339" w:rsidP="00AF53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 сельсовета Тогучинского района Новосибирской области  на 2022 год и плановый период 2023 и 2024 годов (далее –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 составлении проекта бюджета 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AF53D1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 на 2022 год и плановый период 2023 и 2024 годов, с учетом сложившейся экономической ситуации в Российской Федерации, Новосибирской области, 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AF5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Тогучинского района Новосибирской области, а также тенденций ее развития.</w:t>
      </w:r>
    </w:p>
    <w:p w:rsidR="00125339" w:rsidRPr="004F296D" w:rsidRDefault="00125339" w:rsidP="004F296D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Основных направлений были учтены положения Указа Президента Российской Федерации от 21.07.2020 № 474 «О национальных целях развития Российской Федерации на период до 2030 года», послания Президента Российской Федерации Федеральному Собранию от 21 апреля 2021 года.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12533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II</w:t>
      </w:r>
      <w:r w:rsidRPr="0012533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. Налоговая политика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2022 год и плановый период 2023 и 2024 годов разработаны с целью подготовки проекта бюджета поселения на очередной финансовый год и плановый период исходя из задач, с учетом сложившейся экономической ситуации, как Российской Федерации, Новосибирской области, так и в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сельсовете Тогучинского района Новосибирской области, а также тенденций её развития.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Итоги реализации налоговой политики в 2020–2021 годах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российская экономика одновременно со стремительным осложнением санитарно-эпидемиологической обстановки столкнулась с   последствиями ухудшения внешнеэкономических условий, сложившихся в связи с падением цен на нефть, снижением курса национальной валюты.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События 2020 года затронули значительную часть хозяйствующих субъектов страны, привели к </w:t>
      </w:r>
      <w:proofErr w:type="spellStart"/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недостижению</w:t>
      </w:r>
      <w:proofErr w:type="spellEnd"/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бизнес-планов и исходных социально-экономических ориентиров. В наибольшей степени уязвимыми в кризисных условиях оказались виды деятельности, связанные с авиаперевозками, оптовой и розничной торговлей, общественным питанием, предоставлением бытовых услуг населению, физкультурно-оздоровительной деятельностью, туристической отраслью, гостиничным бизнесом, деятельностью по организации конференций, выставок, дополнительного образования.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налоговой политики в предшествующие периоды было обеспечение стабильного социально-экономического развития и сбалансированности бюджета. В условиях снижения экономической активности </w:t>
      </w:r>
      <w:r w:rsidR="004F296D"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счет</w:t>
      </w: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 противоэпидемиологических мероприятий основные решения, призванные не допустить возникновения критических негативных последствий </w:t>
      </w:r>
      <w:proofErr w:type="gramStart"/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экономике</w:t>
      </w:r>
      <w:proofErr w:type="gramEnd"/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принимались на федеральном уровне (отсрочки и списания по  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льгот, были приняты необходимые для легитимной оценки налоговых расходов нормативные правовые акты.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реализован План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штрафам, итоги реализации которого   характеризуют возросший уровень налоговой культуры среди налогоплательщиков. 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основные задачи, поставленные перед органами местного самоуправления в сфере налоговой политики в период 2020–2021 годов были выполнены и способствовали стабилизации экономической ситуации в поселении.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Принимаемые решения легли в основу   повышения доступности применения наиболее комфортного режима налогообложения, сохранения доходов местных бюджетов.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налоговой политики на 2022-2024 годы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2021 год ознаменовался переходом от стадии депрессии к постепенному подъему социально-экономического состояния поселения, </w:t>
      </w: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потребовавшим принятия точечных и рациональных мер поддержки, то 2022 и последующие годы – это период восстановления экономической активности. Несмотря на улучшение как внешних, так и внутренних условий развития российской экономики, последствия распространения новой коронавирусной инфекции до конца не преодолены. В сложившихся условиях основным вектором развития налоговой политики в поселении будет установление справедливой налоговой нагрузки, продолжение реализации федеральных, </w:t>
      </w:r>
      <w:r w:rsidR="004F296D"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</w:t>
      </w: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на местном уровне.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устойчивости социально-экономического развития 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сбалансированности местного 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Увеличение налоговой базы и оптимизация налоговых льгот.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Повышение собираемости налогов и снижение уровня недоимки.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учреждений бюджетной сферы.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процесса исполнения налоговых обязательств физическими лицами на территории 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администрацией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совместно с УФНС России по Новосибирской 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будет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 наличии неурегулированной задолженности по налогам. </w:t>
      </w:r>
    </w:p>
    <w:p w:rsidR="00EC6995" w:rsidRPr="00125339" w:rsidRDefault="00EC6995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339" w:rsidRPr="00125339" w:rsidRDefault="00125339" w:rsidP="002E5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12533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III</w:t>
      </w:r>
      <w:r w:rsidRPr="0012533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. Бюджетная политика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реализации бюджетной политики в 2020-2021 годах</w:t>
      </w:r>
    </w:p>
    <w:p w:rsidR="00125339" w:rsidRPr="004F296D" w:rsidRDefault="00125339" w:rsidP="004F29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x-none" w:eastAsia="x-none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Наряду с вышеупомянутым торможением в ключевых отраслях экономики, которое привело к снижению налоговой отдачи в 2019 году,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</w:t>
      </w:r>
      <w:r w:rsidR="004F296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 этим ограничительными мерами.</w:t>
      </w:r>
    </w:p>
    <w:p w:rsidR="00125339" w:rsidRPr="00125339" w:rsidRDefault="00125339" w:rsidP="004F2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муниципальных финансов муниципального образования   2021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Выбранный курс </w:t>
      </w:r>
      <w:proofErr w:type="spellStart"/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приоритизации</w:t>
      </w:r>
      <w:proofErr w:type="spellEnd"/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Поддержана популярность проектов инициативного бюджетирования через расширение круга лиц, которые вправе выступать с инициативой, – он стал включать кроме граждан, проживающих на соответствующей территории, органы территориального общественного самоуправления и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 сельских населенных пунктов.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основа выбора конкретных инициативных проектов развития территории муниципального образования позволяет повышать заинтересованность граждан бюджетным процессом и при этом эффективно расходовать средства на 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приоритетные проекты развития.</w:t>
      </w:r>
    </w:p>
    <w:p w:rsidR="00125339" w:rsidRPr="00125339" w:rsidRDefault="00125339" w:rsidP="004F296D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</w:t>
      </w:r>
      <w:proofErr w:type="gramStart"/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 органы</w:t>
      </w:r>
      <w:proofErr w:type="gramEnd"/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поселения подключены к работе в Едином портале бюджетной системы Российской Федерации в целях   размещения бюджетных данных на Едином портале бюджетной системы,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бюджетной политики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2022-2024 годы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прогноза налоговых и неналоговых доходов бюджета поселения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</w:t>
      </w:r>
      <w:proofErr w:type="spellStart"/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бездефицитности</w:t>
      </w:r>
      <w:proofErr w:type="spellEnd"/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и ограничений по приросту муниципального долга, а также позволит минимизировать риски разбалансированности в процессе исполнения бюджета поселения.</w:t>
      </w:r>
    </w:p>
    <w:p w:rsidR="00125339" w:rsidRPr="00125339" w:rsidRDefault="00125339" w:rsidP="001253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125339">
        <w:rPr>
          <w:rFonts w:ascii="Times New Roman" w:hAnsi="Times New Roman" w:cs="Times New Roman"/>
          <w:color w:val="000000"/>
          <w:sz w:val="28"/>
          <w:szCs w:val="28"/>
          <w:lang w:val="x-none"/>
        </w:rPr>
        <w:t>Быстроменяющаяся экономическая ситуация требует такой же динамичной адаптации бюджетного курса под новые вызовы и условия.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 реализации бюджетной политики будут: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Реализация Плана мероприятий по оздоровлению муниципальных финансов муниципального образования, включающего программу оптимизации расходов бюджета муниципального образования, мероприятия, направленные на рост доходов бюджета поселения и сокращение муниципального долга муниципального образования.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рамках бездефицитного бюджета. </w:t>
      </w:r>
    </w:p>
    <w:p w:rsidR="00125339" w:rsidRPr="00125339" w:rsidRDefault="00125339" w:rsidP="00125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бюджетной политики в сфере </w:t>
      </w:r>
    </w:p>
    <w:p w:rsidR="00125339" w:rsidRPr="00125339" w:rsidRDefault="00125339" w:rsidP="00125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управления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  в пределах доведенных лимитов бюджетных обязательств с применением мер по недопущению роста штатной численности в органах местного самоуправления, за исключением случаев, связанных с изменением бюджетных функций и полномочий муниципального образования.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Применение подходов количественного, ценового и качественного нормирования в муниципальных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бюджетной политики в сфере обеспечения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обязательств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социальных обязательств </w:t>
      </w:r>
      <w:r w:rsidRPr="00125339">
        <w:rPr>
          <w:rFonts w:ascii="Times New Roman" w:eastAsia="Calibri" w:hAnsi="Times New Roman" w:cs="Times New Roman"/>
          <w:sz w:val="28"/>
          <w:szCs w:val="28"/>
          <w:lang w:eastAsia="ru-RU"/>
        </w:rPr>
        <w:t>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финансовых ресурсов должна быть так же сосредоточена на необходимости: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ежегодной индексации оплаты труда работников бюджетной сферы, в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прогнозным уровнем инфляции;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бюджетной политики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реальном секторе экономики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положительные тенденции, планируется в целом сохранение направлений бюджетной политики в сфере реального сектора экономики.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сохранены: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местного самоуправления;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использование соглашений о взаимодействии в рамках социального партнерства бизнеса;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принципы формирования и/или корректировки механизма целевых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продолжена системная работа органов местного самоуправления с потенциальными инвесторами и предпринимательским сообществом с целью: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взаимовыгодного привлечения внебюджетных ресурсов на реализацию муниципальных проектов.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развитию отраслей реального сектора планируется с учетом применения лучших практик субъектов РФ, муниципальных образований РФ,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расходов на капитальные вложения по-прежнему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остаются актуальными вопросы добросовестности подрядчиков, выполняющих работы по контрактам для нужд муниципального образования, недопущения образования кредиторской задолженности у заказчиков, претензионно-исковой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дорожного фонда 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будет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сети на территории муниципального образования.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повышения эффективности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повышения эффективности бюджетной политики необходимо обеспечивать ликвидность единого счета бюджета,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 поселения по мере наступления сроков платежей по ним. 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</w:t>
      </w:r>
    </w:p>
    <w:p w:rsidR="00125339" w:rsidRPr="00125339" w:rsidRDefault="00125339" w:rsidP="00125339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прозрачности процесса муниципальных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результативность использования бюджетных средств бюджета поселения.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125339" w:rsidRPr="00125339" w:rsidRDefault="00125339" w:rsidP="00125339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сосредоточиться на дальнейшем повышении уровня открытости бюджетных данных для населения муниципального образования.</w:t>
      </w:r>
    </w:p>
    <w:p w:rsidR="00125339" w:rsidRPr="00125339" w:rsidRDefault="00125339" w:rsidP="00125339">
      <w:pPr>
        <w:widowControl w:val="0"/>
        <w:tabs>
          <w:tab w:val="left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125339" w:rsidRPr="00125339" w:rsidRDefault="00125339" w:rsidP="00125339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оптимизация публикуемой на официальном сайте администрации муниципального образования информации, концентрация внимания на наиболее актуальных и востребованных материалах;</w:t>
      </w:r>
    </w:p>
    <w:p w:rsidR="00125339" w:rsidRPr="00125339" w:rsidRDefault="00125339" w:rsidP="00125339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125339" w:rsidRPr="00125339" w:rsidRDefault="00125339" w:rsidP="00125339">
      <w:pPr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условий для использования населением бюджетной информации при реализации проектов инициативного бюджетирования.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сохранения невостребованных налоговых льгот и необоснованных выпадающих доходов   бюджета необходимо провести инвентаризацию методик оценки эффективности налоговых расходов на соответствие критериям эффективности, отвечающим положениям постановления Правительства Российской Федерации от 22.06.2019 № 796 «Об общих требованиях к оценке налоговых расходов субъектов Российской Федерации и муниципальных образований» и целям муниципальных  программ   и социально-экономической политики поселения.</w:t>
      </w:r>
    </w:p>
    <w:p w:rsidR="00125339" w:rsidRPr="00125339" w:rsidRDefault="00125339" w:rsidP="001253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125339" w:rsidRPr="00125339" w:rsidRDefault="00125339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4F296D" w:rsidRDefault="004F296D" w:rsidP="0012533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4F296D" w:rsidRPr="00AF53D1" w:rsidRDefault="004F296D" w:rsidP="004F296D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F296D" w:rsidRPr="00125339" w:rsidRDefault="004F296D" w:rsidP="004F296D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x-none"/>
        </w:rPr>
        <w:t>постановлению</w:t>
      </w:r>
      <w:r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gramStart"/>
      <w:r w:rsidRPr="00125339">
        <w:rPr>
          <w:rFonts w:ascii="Times New Roman" w:hAnsi="Times New Roman" w:cs="Times New Roman"/>
          <w:sz w:val="28"/>
          <w:szCs w:val="28"/>
          <w:lang w:val="x-none"/>
        </w:rPr>
        <w:t>администрации</w:t>
      </w:r>
      <w:r w:rsidRPr="00125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Киик</w:t>
      </w:r>
      <w:r w:rsidRPr="00125339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339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12.10.2021</w:t>
      </w:r>
    </w:p>
    <w:p w:rsidR="00125339" w:rsidRPr="004F296D" w:rsidRDefault="00125339" w:rsidP="00125339">
      <w:pPr>
        <w:widowControl w:val="0"/>
        <w:tabs>
          <w:tab w:val="left" w:pos="63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125339" w:rsidRPr="00125339" w:rsidRDefault="00125339" w:rsidP="00125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</w:t>
      </w:r>
    </w:p>
    <w:p w:rsidR="00125339" w:rsidRPr="00125339" w:rsidRDefault="00125339" w:rsidP="001253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долговой политики </w:t>
      </w:r>
      <w:r w:rsidR="004F2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Киик</w:t>
      </w:r>
      <w:r w:rsidRPr="00125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сельсовета Тогучинского района Новосибирской области на 2022 годи плановый период 2023 и 2024 годов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5339" w:rsidRPr="004F296D" w:rsidRDefault="00125339" w:rsidP="004F2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политика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Тогучинского района Новосибирской области  разработана в единстве с   налоговой и бюджетной политикой поселения</w:t>
      </w: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сбалансированности бюджета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Тогучинского района Новосибирской области</w:t>
      </w:r>
      <w:r w:rsidRPr="00125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 плановый период 2023 и 2024 годов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потребностей в заемном финансировании, своевременного и полного исполнения долговых обязательств, минимизации расходов на обслуживание муниципального долга, поддержания объема и структуры долговых обязательств, исключающих их неисполнение.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Долговая политика </w:t>
      </w:r>
      <w:r w:rsidR="004F2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4F296D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4F296D"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сельсовета Тогучинского района Новосибирской области на 2022 год и на плановый период 2023 и 2024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="00B102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Киик</w:t>
      </w:r>
      <w:r w:rsidR="00B102CA"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сельсовета Тогучинского района Новосибирской области (далее- муниципальное </w:t>
      </w:r>
      <w:proofErr w:type="gramStart"/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образование)  на</w:t>
      </w:r>
      <w:proofErr w:type="gramEnd"/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2022 год и плановый период 2023 и 2024 годов.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По итогам 2019 года муниципальный долг муниципального образования (далее - муниципальный долг) составил 0,0 тыс. рублей.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По итогам 2020 года муниципальный долг муниципального образования составил 0,0 тыс. рублей.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По состоянию на 01 </w:t>
      </w:r>
      <w:r w:rsidR="00B102CA"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октября 2021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год муниципальный долг составил 0,0 тыс. рублей.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Исполнение долговых обязательств муниципального </w:t>
      </w:r>
      <w:r w:rsidR="00B102CA"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образования осуществлялось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своевременно и в полном объеме.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 w:rsidR="00B102CA"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решением о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бюджете муниципального образования.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2. Основные факторы, определяющие характер и направления </w:t>
      </w:r>
    </w:p>
    <w:p w:rsidR="00125339" w:rsidRPr="00125339" w:rsidRDefault="00125339" w:rsidP="00B102C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долговой политики муниципального образования на 2022-2024 годы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Основными факторами, определяющими характер и направления долговой политики муниципального образования на 2022-2024 годы, 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lastRenderedPageBreak/>
        <w:t>являются: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Приоритеты долговой политики, сложившиеся в 2019-2021 годах, будут сохранены.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3.</w:t>
      </w:r>
      <w:r w:rsidRPr="00125339">
        <w:rPr>
          <w:rFonts w:ascii="Times New Roman" w:eastAsia="Arial" w:hAnsi="Times New Roman" w:cs="Times New Roman"/>
          <w:sz w:val="28"/>
          <w:szCs w:val="28"/>
          <w:lang w:val="en-US" w:eastAsia="ja-JP"/>
        </w:rPr>
        <w:t> 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Цели долговой политики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Целями долговой политики являются: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обеспечение сбалансированности бюджета муниципального образования;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поддержание параметров </w:t>
      </w:r>
      <w:r w:rsidR="00B102CA"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муниципального долга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своевременное исполнение долговых обязательств в полном объеме;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минимизация расходов на обслуживание муниципального долга. 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4. Задачи долговой политики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Задачи, которые необходимо решить при реализации долговой политики: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125339" w:rsidRPr="00125339" w:rsidRDefault="00125339" w:rsidP="00B102CA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обеспечение дефицита бюджета 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образования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в 202</w:t>
      </w:r>
      <w:r w:rsidRPr="00125339">
        <w:rPr>
          <w:rFonts w:ascii="Times New Roman" w:eastAsia="Calibri" w:hAnsi="Times New Roman" w:cs="Times New Roman"/>
          <w:sz w:val="28"/>
          <w:szCs w:val="28"/>
          <w:lang w:eastAsia="x-none"/>
        </w:rPr>
        <w:t>2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202</w:t>
      </w:r>
      <w:r w:rsidRPr="00125339">
        <w:rPr>
          <w:rFonts w:ascii="Times New Roman" w:eastAsia="Calibri" w:hAnsi="Times New Roman" w:cs="Times New Roman"/>
          <w:sz w:val="28"/>
          <w:szCs w:val="28"/>
          <w:lang w:eastAsia="x-none"/>
        </w:rPr>
        <w:t>3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и 202</w:t>
      </w:r>
      <w:r w:rsidRPr="00125339">
        <w:rPr>
          <w:rFonts w:ascii="Times New Roman" w:eastAsia="Calibri" w:hAnsi="Times New Roman" w:cs="Times New Roman"/>
          <w:sz w:val="28"/>
          <w:szCs w:val="28"/>
          <w:lang w:eastAsia="x-none"/>
        </w:rPr>
        <w:t>4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 w:rsidRPr="00125339">
        <w:rPr>
          <w:rFonts w:ascii="Times New Roman" w:eastAsia="Calibri" w:hAnsi="Times New Roman" w:cs="Times New Roman"/>
          <w:sz w:val="28"/>
          <w:szCs w:val="28"/>
          <w:lang w:eastAsia="x-none"/>
        </w:rPr>
        <w:t>2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, 202</w:t>
      </w:r>
      <w:r w:rsidRPr="00125339">
        <w:rPr>
          <w:rFonts w:ascii="Times New Roman" w:eastAsia="Calibri" w:hAnsi="Times New Roman" w:cs="Times New Roman"/>
          <w:sz w:val="28"/>
          <w:szCs w:val="28"/>
          <w:lang w:eastAsia="x-none"/>
        </w:rPr>
        <w:t>3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и 202</w:t>
      </w:r>
      <w:r w:rsidRPr="00125339">
        <w:rPr>
          <w:rFonts w:ascii="Times New Roman" w:eastAsia="Calibri" w:hAnsi="Times New Roman" w:cs="Times New Roman"/>
          <w:sz w:val="28"/>
          <w:szCs w:val="28"/>
          <w:lang w:eastAsia="x-none"/>
        </w:rPr>
        <w:t>4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образования</w:t>
      </w: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);</w:t>
      </w:r>
    </w:p>
    <w:p w:rsidR="00125339" w:rsidRPr="00125339" w:rsidRDefault="00125339" w:rsidP="00B102CA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125339" w:rsidRPr="00125339" w:rsidRDefault="00125339" w:rsidP="00B102CA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125339" w:rsidRPr="00125339" w:rsidRDefault="00125339" w:rsidP="00B102CA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125339" w:rsidRPr="00125339" w:rsidRDefault="00125339" w:rsidP="00125339">
      <w:pPr>
        <w:tabs>
          <w:tab w:val="left" w:pos="5954"/>
        </w:tabs>
        <w:spacing w:before="100" w:beforeAutospacing="1" w:after="12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12533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B102CA" w:rsidRDefault="00B102CA" w:rsidP="0012533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before="40" w:after="0" w:line="240" w:lineRule="auto"/>
        <w:ind w:firstLine="567"/>
        <w:jc w:val="center"/>
        <w:textAlignment w:val="baseline"/>
        <w:outlineLvl w:val="2"/>
        <w:rPr>
          <w:rFonts w:ascii="Times New Roman" w:eastAsiaTheme="majorEastAsia" w:hAnsi="Times New Roman" w:cs="Times New Roman"/>
          <w:bCs/>
          <w:spacing w:val="2"/>
          <w:sz w:val="28"/>
          <w:szCs w:val="28"/>
          <w:lang w:eastAsia="ru-RU"/>
        </w:rPr>
      </w:pPr>
    </w:p>
    <w:p w:rsidR="00125339" w:rsidRPr="00125339" w:rsidRDefault="00125339" w:rsidP="00125339">
      <w:pPr>
        <w:keepNext/>
        <w:keepLines/>
        <w:widowControl w:val="0"/>
        <w:shd w:val="clear" w:color="auto" w:fill="FFFFFF"/>
        <w:autoSpaceDE w:val="0"/>
        <w:autoSpaceDN w:val="0"/>
        <w:adjustRightInd w:val="0"/>
        <w:spacing w:before="40"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125339">
        <w:rPr>
          <w:rFonts w:ascii="Times New Roman" w:eastAsiaTheme="majorEastAsia" w:hAnsi="Times New Roman" w:cs="Times New Roman"/>
          <w:bCs/>
          <w:spacing w:val="2"/>
          <w:sz w:val="28"/>
          <w:szCs w:val="28"/>
          <w:lang w:eastAsia="ru-RU"/>
        </w:rPr>
        <w:t>5. Инструменты реализации долговой политики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инструментами реализации долговой политики являются: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proofErr w:type="gramStart"/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местном  бюджете</w:t>
      </w:r>
      <w:proofErr w:type="gramEnd"/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продление моратория на предоставление муниципальных гарантий по обязательствам третьих лиц;</w:t>
      </w:r>
    </w:p>
    <w:p w:rsidR="00125339" w:rsidRPr="00125339" w:rsidRDefault="00125339" w:rsidP="00125339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обеспечение своевременного и полного учета долговых обязательств.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6. Основные риски долговой политики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 при реализации долговой политики являются: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 роста процентной ставки и изменения стоимости заимствований </w:t>
      </w: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зависимости от времени и объема потребности в заемных ресурсах;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недостаточного поступления доходов в бюджет муниципального образования.</w:t>
      </w:r>
    </w:p>
    <w:p w:rsidR="00125339" w:rsidRPr="00125339" w:rsidRDefault="00125339" w:rsidP="00B102CA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целью снижения указанных выше рисков и сохранения их 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на приемлемом уровне реализация долговой политики будет осуществляться 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на основе прогнозов поступления доходов, финансирования расходов 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и привлечения муниципальных заимствований, анализа исполнения бюджета предыдущих лет.</w:t>
      </w:r>
    </w:p>
    <w:p w:rsidR="00125339" w:rsidRPr="00125339" w:rsidRDefault="00125339" w:rsidP="00B102CA">
      <w:pPr>
        <w:tabs>
          <w:tab w:val="left" w:pos="595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7.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 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нап</w:t>
      </w:r>
      <w:r w:rsidR="00B102CA"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125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авления долговой политики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Основными направлениями долговой политики являются: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</w:t>
      </w:r>
      <w:r w:rsidR="00B102CA"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образования или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замещение планируемых к привлечению заемных средств;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недопущение принятия новых расходных обязательств </w:t>
      </w:r>
      <w:r w:rsidRPr="00125339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муниципального </w:t>
      </w:r>
      <w:r w:rsidRPr="00125339">
        <w:rPr>
          <w:rFonts w:ascii="Times New Roman" w:eastAsia="Calibri" w:hAnsi="Times New Roman" w:cs="Times New Roman"/>
          <w:sz w:val="28"/>
          <w:szCs w:val="28"/>
          <w:lang w:eastAsia="ja-JP"/>
        </w:rPr>
        <w:lastRenderedPageBreak/>
        <w:t>образования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, не обеспеченных источниками доходов;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осуществление муниципальных внутренних заимствований </w:t>
      </w:r>
      <w:r w:rsidRPr="00125339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муниципального образования 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125339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муниципальным образованием 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кредитных ресурсов минимальна;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использование возможностей привлечения бюджетных кредитов из </w:t>
      </w:r>
      <w:r w:rsidR="00B102CA"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бюджета района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 по причине их наименьшей стоимости;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 xml:space="preserve">воздержание от предоставления муниципальных гарантий </w:t>
      </w:r>
      <w:r w:rsidRPr="00125339">
        <w:rPr>
          <w:rFonts w:ascii="Times New Roman" w:eastAsia="Calibri" w:hAnsi="Times New Roman" w:cs="Times New Roman"/>
          <w:sz w:val="28"/>
          <w:szCs w:val="28"/>
          <w:lang w:eastAsia="ja-JP"/>
        </w:rPr>
        <w:t>муниципального образования</w:t>
      </w: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, учитывая рекомендации министерства финансов Новосибирской облас</w:t>
      </w:r>
      <w:bookmarkStart w:id="0" w:name="_GoBack"/>
      <w:bookmarkEnd w:id="0"/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125339" w:rsidRPr="00125339" w:rsidRDefault="00125339" w:rsidP="0012533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ja-JP"/>
        </w:rPr>
      </w:pPr>
      <w:r w:rsidRPr="00125339">
        <w:rPr>
          <w:rFonts w:ascii="Times New Roman" w:eastAsia="Arial" w:hAnsi="Times New Roman" w:cs="Times New Roman"/>
          <w:sz w:val="28"/>
          <w:szCs w:val="28"/>
          <w:lang w:eastAsia="ja-JP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прозрачности (открытости) в вопросах долговой политики.</w:t>
      </w:r>
    </w:p>
    <w:p w:rsidR="00125339" w:rsidRPr="00125339" w:rsidRDefault="00125339" w:rsidP="00125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19C" w:rsidRDefault="00E3419C"/>
    <w:sectPr w:rsidR="00E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BD"/>
    <w:rsid w:val="00125339"/>
    <w:rsid w:val="002E586A"/>
    <w:rsid w:val="004F296D"/>
    <w:rsid w:val="00867DBD"/>
    <w:rsid w:val="00AF53D1"/>
    <w:rsid w:val="00B102CA"/>
    <w:rsid w:val="00E3419C"/>
    <w:rsid w:val="00E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8AED0-BB97-4757-B62E-A17E5904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Киик</cp:lastModifiedBy>
  <cp:revision>3</cp:revision>
  <cp:lastPrinted>2021-10-13T05:21:00Z</cp:lastPrinted>
  <dcterms:created xsi:type="dcterms:W3CDTF">2021-10-13T05:19:00Z</dcterms:created>
  <dcterms:modified xsi:type="dcterms:W3CDTF">2021-10-13T05:22:00Z</dcterms:modified>
</cp:coreProperties>
</file>